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21EFC">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中国医学科学院阜外医院进修招生简章</w:t>
      </w:r>
    </w:p>
    <w:p w14:paraId="1E017621">
      <w:pPr>
        <w:spacing w:line="360" w:lineRule="auto"/>
        <w:jc w:val="center"/>
        <w:rPr>
          <w:rFonts w:ascii="仿宋" w:hAnsi="仿宋" w:eastAsia="仿宋" w:cs="仿宋"/>
          <w:b/>
          <w:bCs/>
          <w:sz w:val="44"/>
          <w:szCs w:val="44"/>
        </w:rPr>
      </w:pPr>
      <w:r>
        <w:rPr>
          <w:rFonts w:hint="eastAsia" w:ascii="仿宋" w:hAnsi="仿宋" w:eastAsia="仿宋" w:cs="仿宋"/>
          <w:b/>
          <w:bCs/>
          <w:sz w:val="32"/>
          <w:szCs w:val="32"/>
        </w:rPr>
        <w:t>专业名称  VA-ECMO管理</w:t>
      </w:r>
      <w:r>
        <w:rPr>
          <w:rFonts w:hint="eastAsia" w:ascii="仿宋" w:hAnsi="仿宋" w:eastAsia="仿宋" w:cs="仿宋"/>
          <w:b/>
          <w:bCs/>
          <w:sz w:val="44"/>
          <w:szCs w:val="44"/>
        </w:rPr>
        <w:t xml:space="preserve">  </w:t>
      </w:r>
    </w:p>
    <w:p w14:paraId="551A1FBF">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培训目标：</w:t>
      </w:r>
      <w:r>
        <w:rPr>
          <w:rFonts w:hint="eastAsia" w:ascii="仿宋" w:hAnsi="仿宋" w:eastAsia="仿宋" w:cs="仿宋"/>
          <w:sz w:val="24"/>
        </w:rPr>
        <w:t>成人及小儿的VA-ECMO管理</w:t>
      </w:r>
    </w:p>
    <w:p w14:paraId="76C8C808">
      <w:pPr>
        <w:numPr>
          <w:ilvl w:val="0"/>
          <w:numId w:val="1"/>
        </w:numPr>
        <w:spacing w:line="360" w:lineRule="auto"/>
        <w:jc w:val="left"/>
        <w:rPr>
          <w:rFonts w:ascii="仿宋" w:hAnsi="仿宋" w:eastAsia="仿宋" w:cs="仿宋"/>
          <w:sz w:val="24"/>
        </w:rPr>
      </w:pPr>
      <w:r>
        <w:rPr>
          <w:rFonts w:hint="eastAsia" w:ascii="仿宋" w:hAnsi="仿宋" w:eastAsia="仿宋" w:cs="仿宋"/>
          <w:b/>
          <w:bCs/>
          <w:sz w:val="24"/>
        </w:rPr>
        <w:t>报到时间：</w:t>
      </w:r>
      <w:r>
        <w:rPr>
          <w:rFonts w:hint="eastAsia" w:ascii="仿宋" w:hAnsi="仿宋" w:eastAsia="仿宋" w:cs="仿宋"/>
          <w:sz w:val="24"/>
        </w:rPr>
        <w:t>2月、6月、1</w:t>
      </w:r>
      <w:r>
        <w:rPr>
          <w:rFonts w:ascii="仿宋" w:hAnsi="仿宋" w:eastAsia="仿宋" w:cs="仿宋"/>
          <w:sz w:val="24"/>
        </w:rPr>
        <w:t>0</w:t>
      </w:r>
      <w:r>
        <w:rPr>
          <w:rFonts w:hint="eastAsia" w:ascii="仿宋" w:hAnsi="仿宋" w:eastAsia="仿宋" w:cs="仿宋"/>
          <w:sz w:val="24"/>
        </w:rPr>
        <w:t>月</w:t>
      </w:r>
    </w:p>
    <w:p w14:paraId="55157491">
      <w:pPr>
        <w:numPr>
          <w:ilvl w:val="0"/>
          <w:numId w:val="1"/>
        </w:numPr>
        <w:spacing w:line="360" w:lineRule="auto"/>
        <w:jc w:val="left"/>
        <w:rPr>
          <w:rFonts w:ascii="仿宋" w:hAnsi="仿宋" w:eastAsia="仿宋" w:cs="仿宋"/>
          <w:sz w:val="24"/>
        </w:rPr>
      </w:pPr>
      <w:r>
        <w:rPr>
          <w:rFonts w:hint="eastAsia" w:ascii="仿宋" w:hAnsi="仿宋" w:eastAsia="仿宋" w:cs="仿宋"/>
          <w:b/>
          <w:bCs/>
          <w:sz w:val="24"/>
        </w:rPr>
        <w:t>进修时长：</w:t>
      </w:r>
      <w:r>
        <w:rPr>
          <w:rFonts w:hint="eastAsia" w:ascii="仿宋" w:hAnsi="仿宋" w:eastAsia="仿宋" w:cs="仿宋"/>
          <w:sz w:val="24"/>
        </w:rPr>
        <w:t>3个月，每期限</w:t>
      </w:r>
      <w:r>
        <w:rPr>
          <w:rFonts w:ascii="仿宋" w:hAnsi="仿宋" w:eastAsia="仿宋" w:cs="仿宋"/>
          <w:sz w:val="24"/>
        </w:rPr>
        <w:t>10</w:t>
      </w:r>
      <w:r>
        <w:rPr>
          <w:rFonts w:hint="eastAsia" w:ascii="仿宋" w:hAnsi="仿宋" w:eastAsia="仿宋" w:cs="仿宋"/>
          <w:sz w:val="24"/>
        </w:rPr>
        <w:t>人</w:t>
      </w:r>
    </w:p>
    <w:p w14:paraId="6BE54FE7">
      <w:pPr>
        <w:numPr>
          <w:ilvl w:val="0"/>
          <w:numId w:val="1"/>
        </w:numPr>
        <w:spacing w:line="360" w:lineRule="auto"/>
        <w:jc w:val="left"/>
        <w:rPr>
          <w:rFonts w:ascii="仿宋" w:hAnsi="仿宋" w:eastAsia="仿宋" w:cs="仿宋"/>
          <w:sz w:val="24"/>
        </w:rPr>
      </w:pPr>
      <w:r>
        <w:rPr>
          <w:rFonts w:hint="eastAsia" w:ascii="仿宋" w:hAnsi="仿宋" w:eastAsia="仿宋" w:cs="仿宋"/>
          <w:b/>
          <w:bCs/>
          <w:sz w:val="24"/>
        </w:rPr>
        <w:t>专业联系人：</w:t>
      </w:r>
      <w:r>
        <w:rPr>
          <w:rFonts w:hint="eastAsia" w:ascii="仿宋" w:hAnsi="仿宋" w:eastAsia="仿宋" w:cs="仿宋"/>
          <w:sz w:val="24"/>
        </w:rPr>
        <w:t>刘刚18610028410</w:t>
      </w:r>
    </w:p>
    <w:p w14:paraId="6590E2B2">
      <w:pPr>
        <w:numPr>
          <w:ilvl w:val="0"/>
          <w:numId w:val="1"/>
        </w:numPr>
        <w:spacing w:line="360" w:lineRule="auto"/>
        <w:rPr>
          <w:rFonts w:ascii="仿宋" w:hAnsi="仿宋" w:eastAsia="仿宋" w:cs="仿宋"/>
          <w:sz w:val="24"/>
        </w:rPr>
      </w:pPr>
      <w:r>
        <w:rPr>
          <w:rFonts w:hint="eastAsia" w:ascii="仿宋" w:hAnsi="仿宋" w:eastAsia="仿宋" w:cs="仿宋"/>
          <w:b/>
          <w:bCs/>
          <w:sz w:val="24"/>
        </w:rPr>
        <w:t>培训内容：</w:t>
      </w:r>
    </w:p>
    <w:p w14:paraId="206B49C4">
      <w:pPr>
        <w:spacing w:line="360" w:lineRule="auto"/>
        <w:rPr>
          <w:rFonts w:ascii="仿宋" w:hAnsi="仿宋" w:eastAsia="仿宋" w:cs="仿宋"/>
          <w:b/>
          <w:bCs/>
          <w:sz w:val="24"/>
          <w:highlight w:val="yellow"/>
        </w:rPr>
      </w:pPr>
      <w:r>
        <w:rPr>
          <w:rFonts w:hint="eastAsia" w:ascii="仿宋" w:hAnsi="仿宋" w:eastAsia="仿宋" w:cs="仿宋"/>
          <w:b/>
          <w:bCs/>
          <w:sz w:val="24"/>
          <w:highlight w:val="yellow"/>
        </w:rPr>
        <w:t>常规内容：</w:t>
      </w:r>
    </w:p>
    <w:p w14:paraId="0E30BF68">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进修期间归属体外循环中心（包括成人和小儿）管理，第3个月安排轮转各ICU；</w:t>
      </w:r>
    </w:p>
    <w:p w14:paraId="0980AB8F">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每周二、四安排ECLS、SICU、内科ICU、超声、护理及康复等相关专业小课堂授课；</w:t>
      </w:r>
    </w:p>
    <w:p w14:paraId="62F6F26C">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充分结合培训课程及ECMO患者特点举办病历讨论及专题讲座；</w:t>
      </w:r>
    </w:p>
    <w:p w14:paraId="50FEB19F">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完成至少一次ECMO标准化模拟培训及一次模拟化考试；</w:t>
      </w:r>
    </w:p>
    <w:p w14:paraId="050D6FF6">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作为ECMO值班一线与本院医生共同负责ECMO系统化见习管理；</w:t>
      </w:r>
    </w:p>
    <w:p w14:paraId="6E1A16DB">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每例ECMO病例全科讨论，总结经验；</w:t>
      </w:r>
    </w:p>
    <w:p w14:paraId="0B4C9A3B">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结业前ECMO病例总结汇报。</w:t>
      </w:r>
    </w:p>
    <w:p w14:paraId="760B4979">
      <w:pPr>
        <w:spacing w:line="360" w:lineRule="auto"/>
        <w:rPr>
          <w:rFonts w:ascii="仿宋" w:hAnsi="仿宋" w:eastAsia="仿宋" w:cs="仿宋"/>
          <w:b/>
          <w:bCs/>
          <w:sz w:val="24"/>
          <w:highlight w:val="yellow"/>
        </w:rPr>
      </w:pPr>
      <w:r>
        <w:rPr>
          <w:rFonts w:hint="eastAsia" w:ascii="仿宋" w:hAnsi="仿宋" w:eastAsia="仿宋" w:cs="仿宋"/>
          <w:b/>
          <w:bCs/>
          <w:sz w:val="24"/>
          <w:highlight w:val="yellow"/>
        </w:rPr>
        <w:t>特色内容：</w:t>
      </w:r>
    </w:p>
    <w:p w14:paraId="28BEAE21">
      <w:pPr>
        <w:spacing w:line="360" w:lineRule="auto"/>
        <w:rPr>
          <w:rFonts w:ascii="仿宋" w:hAnsi="仿宋" w:eastAsia="仿宋" w:cs="仿宋"/>
          <w:sz w:val="24"/>
        </w:rPr>
      </w:pPr>
      <w:r>
        <w:rPr>
          <w:rFonts w:ascii="仿宋" w:hAnsi="仿宋" w:eastAsia="仿宋" w:cs="仿宋"/>
          <w:sz w:val="24"/>
        </w:rPr>
        <w:tab/>
      </w:r>
      <w:r>
        <w:rPr>
          <w:rFonts w:hint="eastAsia" w:ascii="仿宋" w:hAnsi="仿宋" w:eastAsia="仿宋" w:cs="仿宋"/>
          <w:b/>
          <w:bCs/>
          <w:sz w:val="24"/>
        </w:rPr>
        <w:t>模拟训练</w:t>
      </w:r>
      <w:r>
        <w:rPr>
          <w:rFonts w:hint="eastAsia" w:ascii="仿宋" w:hAnsi="仿宋" w:eastAsia="仿宋" w:cs="仿宋"/>
          <w:sz w:val="24"/>
        </w:rPr>
        <w:t>为特色内容，培训以阜外医院ECMO规范化模拟病例为蓝本，并利用CALIFIA高仿真模拟器及高仿真穿刺模拟人，模拟体外生命支持的建立、管理及撤除全过程，并模拟ECMO管理中常见意外与并发症的识别和处理。在接近真实的安全的环境中反复训练，提升临床技能及临床思维能力。</w:t>
      </w:r>
    </w:p>
    <w:p w14:paraId="2B6B96F7">
      <w:pPr>
        <w:spacing w:line="360" w:lineRule="auto"/>
        <w:rPr>
          <w:rFonts w:ascii="仿宋" w:hAnsi="仿宋" w:eastAsia="仿宋" w:cs="仿宋"/>
          <w:sz w:val="24"/>
        </w:rPr>
      </w:pPr>
    </w:p>
    <w:p w14:paraId="02FB9D22">
      <w:pPr>
        <w:spacing w:line="360" w:lineRule="auto"/>
        <w:rPr>
          <w:rFonts w:ascii="仿宋" w:hAnsi="仿宋" w:eastAsia="仿宋" w:cs="仿宋"/>
          <w:sz w:val="24"/>
        </w:rPr>
      </w:pPr>
    </w:p>
    <w:p w14:paraId="78B148CB">
      <w:pPr>
        <w:spacing w:line="360" w:lineRule="auto"/>
        <w:rPr>
          <w:rFonts w:ascii="仿宋" w:hAnsi="仿宋" w:eastAsia="仿宋" w:cs="仿宋"/>
          <w:sz w:val="24"/>
        </w:rPr>
      </w:pPr>
    </w:p>
    <w:p w14:paraId="52E44326">
      <w:pPr>
        <w:spacing w:line="360" w:lineRule="auto"/>
        <w:rPr>
          <w:rFonts w:ascii="仿宋" w:hAnsi="仿宋" w:eastAsia="仿宋" w:cs="仿宋"/>
          <w:sz w:val="24"/>
        </w:rPr>
      </w:pPr>
    </w:p>
    <w:p w14:paraId="52D779AD">
      <w:pPr>
        <w:spacing w:line="360" w:lineRule="auto"/>
        <w:rPr>
          <w:rFonts w:ascii="仿宋" w:hAnsi="仿宋" w:eastAsia="仿宋" w:cs="仿宋"/>
          <w:sz w:val="24"/>
        </w:rPr>
      </w:pPr>
      <w:r>
        <w:rPr>
          <w:rFonts w:ascii="仿宋" w:hAnsi="仿宋" w:eastAsia="仿宋"/>
          <w:sz w:val="30"/>
          <w:szCs w:val="30"/>
        </w:rPr>
        <w:drawing>
          <wp:anchor distT="0" distB="0" distL="114300" distR="114300" simplePos="0" relativeHeight="251661312" behindDoc="0" locked="0" layoutInCell="1" allowOverlap="1">
            <wp:simplePos x="0" y="0"/>
            <wp:positionH relativeFrom="column">
              <wp:posOffset>0</wp:posOffset>
            </wp:positionH>
            <wp:positionV relativeFrom="paragraph">
              <wp:posOffset>299085</wp:posOffset>
            </wp:positionV>
            <wp:extent cx="4977130" cy="3329940"/>
            <wp:effectExtent l="0" t="0" r="6350" b="7620"/>
            <wp:wrapTopAndBottom/>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a:extLst>
                        <a:ext uri="{28A0092B-C50C-407E-A947-70E740481C1C}">
                          <a14:useLocalDpi xmlns:a14="http://schemas.microsoft.com/office/drawing/2010/main" val="0"/>
                        </a:ext>
                      </a:extLst>
                    </a:blip>
                    <a:stretch>
                      <a:fillRect/>
                    </a:stretch>
                  </pic:blipFill>
                  <pic:spPr>
                    <a:xfrm>
                      <a:off x="0" y="0"/>
                      <a:ext cx="4977130" cy="3329940"/>
                    </a:xfrm>
                    <a:prstGeom prst="rect">
                      <a:avLst/>
                    </a:prstGeom>
                  </pic:spPr>
                </pic:pic>
              </a:graphicData>
            </a:graphic>
          </wp:anchor>
        </w:drawing>
      </w:r>
    </w:p>
    <w:p w14:paraId="40BF066B">
      <w:pPr>
        <w:spacing w:line="360" w:lineRule="auto"/>
        <w:jc w:val="left"/>
        <w:rPr>
          <w:rFonts w:ascii="仿宋" w:hAnsi="仿宋" w:eastAsia="仿宋" w:cs="仿宋"/>
          <w:sz w:val="24"/>
        </w:rPr>
      </w:pPr>
      <w:r>
        <w:rPr>
          <w:rFonts w:ascii="仿宋" w:hAnsi="仿宋" w:eastAsia="仿宋" w:cs="仿宋"/>
          <w:sz w:val="24"/>
        </w:rPr>
        <w:drawing>
          <wp:inline distT="0" distB="0" distL="0" distR="0">
            <wp:extent cx="4979035" cy="3358515"/>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979035" cy="3358515"/>
                    </a:xfrm>
                    <a:prstGeom prst="rect">
                      <a:avLst/>
                    </a:prstGeom>
                  </pic:spPr>
                </pic:pic>
              </a:graphicData>
            </a:graphic>
          </wp:inline>
        </w:drawing>
      </w:r>
    </w:p>
    <w:p w14:paraId="5D6F2ABC">
      <w:pPr>
        <w:spacing w:line="360" w:lineRule="auto"/>
        <w:rPr>
          <w:rFonts w:ascii="仿宋" w:hAnsi="仿宋" w:eastAsia="仿宋" w:cs="仿宋"/>
          <w:sz w:val="24"/>
        </w:rPr>
      </w:pPr>
    </w:p>
    <w:p w14:paraId="7CDC2AA8">
      <w:pPr>
        <w:numPr>
          <w:ilvl w:val="0"/>
          <w:numId w:val="1"/>
        </w:numPr>
        <w:spacing w:line="360" w:lineRule="auto"/>
        <w:rPr>
          <w:rFonts w:ascii="仿宋" w:hAnsi="仿宋" w:eastAsia="仿宋" w:cs="仿宋"/>
          <w:b/>
          <w:bCs/>
          <w:color w:val="FF0000"/>
          <w:sz w:val="24"/>
        </w:rPr>
      </w:pPr>
      <w:r>
        <w:rPr>
          <w:rFonts w:hint="eastAsia" w:ascii="仿宋" w:hAnsi="仿宋" w:eastAsia="仿宋" w:cs="仿宋"/>
          <w:b/>
          <w:bCs/>
          <w:sz w:val="24"/>
        </w:rPr>
        <w:t>进修费用：6</w:t>
      </w:r>
      <w:r>
        <w:rPr>
          <w:rFonts w:ascii="仿宋" w:hAnsi="仿宋" w:eastAsia="仿宋" w:cs="仿宋"/>
          <w:b/>
          <w:bCs/>
          <w:sz w:val="24"/>
        </w:rPr>
        <w:t>000</w:t>
      </w:r>
      <w:r>
        <w:rPr>
          <w:rFonts w:hint="eastAsia" w:ascii="仿宋" w:hAnsi="仿宋" w:eastAsia="仿宋" w:cs="仿宋"/>
          <w:b/>
          <w:bCs/>
          <w:sz w:val="24"/>
        </w:rPr>
        <w:t>元（如延期至半年需补交一期费用）</w:t>
      </w:r>
    </w:p>
    <w:p w14:paraId="33E1D876">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培训/轮转计划：</w:t>
      </w:r>
    </w:p>
    <w:p w14:paraId="6C645355">
      <w:pPr>
        <w:spacing w:line="360" w:lineRule="auto"/>
        <w:ind w:firstLine="480" w:firstLineChars="200"/>
        <w:jc w:val="left"/>
        <w:rPr>
          <w:rFonts w:ascii="仿宋" w:hAnsi="仿宋" w:eastAsia="仿宋" w:cs="仿宋"/>
          <w:sz w:val="24"/>
        </w:rPr>
      </w:pPr>
      <w:r>
        <w:rPr>
          <w:rFonts w:hint="eastAsia" w:ascii="仿宋" w:hAnsi="仿宋" w:eastAsia="仿宋" w:cs="仿宋"/>
          <w:sz w:val="24"/>
        </w:rPr>
        <w:t>3个月：前两个月在体外循环中心学习，第三个月轮转外科ICU、CCU、神经内科及肾内科等。</w:t>
      </w:r>
    </w:p>
    <w:p w14:paraId="5BB0C15B">
      <w:pPr>
        <w:spacing w:line="360" w:lineRule="auto"/>
        <w:jc w:val="left"/>
        <w:rPr>
          <w:rFonts w:ascii="仿宋" w:hAnsi="仿宋" w:eastAsia="仿宋" w:cs="仿宋"/>
          <w:sz w:val="24"/>
        </w:rPr>
      </w:pPr>
    </w:p>
    <w:p w14:paraId="77F44B97">
      <w:pPr>
        <w:spacing w:line="360" w:lineRule="auto"/>
        <w:jc w:val="left"/>
        <w:rPr>
          <w:rFonts w:ascii="仿宋" w:hAnsi="仿宋" w:eastAsia="仿宋" w:cs="仿宋"/>
          <w:sz w:val="24"/>
        </w:rPr>
      </w:pPr>
    </w:p>
    <w:p w14:paraId="7771B9AD">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科室/专业介绍</w:t>
      </w:r>
    </w:p>
    <w:p w14:paraId="6BA82452">
      <w:pPr>
        <w:spacing w:line="360" w:lineRule="auto"/>
        <w:ind w:firstLine="420"/>
        <w:jc w:val="left"/>
        <w:rPr>
          <w:rFonts w:ascii="仿宋" w:hAnsi="仿宋" w:eastAsia="仿宋" w:cs="仿宋"/>
          <w:sz w:val="24"/>
        </w:rPr>
      </w:pPr>
      <w:r>
        <w:rPr>
          <w:rFonts w:hint="eastAsia" w:ascii="仿宋" w:hAnsi="仿宋" w:eastAsia="仿宋" w:cs="仿宋"/>
          <w:sz w:val="24"/>
        </w:rPr>
        <w:t>我院自</w:t>
      </w:r>
      <w:r>
        <w:rPr>
          <w:rFonts w:ascii="仿宋" w:hAnsi="仿宋" w:eastAsia="仿宋" w:cs="仿宋"/>
          <w:sz w:val="24"/>
        </w:rPr>
        <w:t>1991</w:t>
      </w:r>
      <w:r>
        <w:rPr>
          <w:rFonts w:hint="eastAsia" w:ascii="仿宋" w:hAnsi="仿宋" w:eastAsia="仿宋" w:cs="仿宋"/>
          <w:sz w:val="24"/>
        </w:rPr>
        <w:t>年即开展ECMO工作，是国内最早开展ECMO的医疗单位之一。目前，我院ECMO包含各类成人及小儿心血管外科术后的循环支持，心脏移植术前过渡支持，桥接LVAD，爆发性心肌炎的辅助，高危PCI/TAVR术的支持，肺血管疾病的支持，慢性心衰急性急性心原性休克，ECPR等。多年来经过不断学习和总结，我院在ECMO管理方面积累了大量的成功经验。每年约50</w:t>
      </w:r>
      <w:r>
        <w:rPr>
          <w:rFonts w:ascii="仿宋" w:hAnsi="仿宋" w:eastAsia="仿宋" w:cs="仿宋"/>
          <w:sz w:val="24"/>
        </w:rPr>
        <w:t>-60</w:t>
      </w:r>
      <w:r>
        <w:rPr>
          <w:rFonts w:hint="eastAsia" w:ascii="仿宋" w:hAnsi="仿宋" w:eastAsia="仿宋" w:cs="仿宋"/>
          <w:sz w:val="24"/>
        </w:rPr>
        <w:t>例ECMO，成人约占</w:t>
      </w:r>
      <w:r>
        <w:rPr>
          <w:rFonts w:ascii="仿宋" w:hAnsi="仿宋" w:eastAsia="仿宋" w:cs="仿宋"/>
          <w:sz w:val="24"/>
        </w:rPr>
        <w:t>70</w:t>
      </w:r>
      <w:r>
        <w:rPr>
          <w:rFonts w:hint="eastAsia" w:ascii="仿宋" w:hAnsi="仿宋" w:eastAsia="仿宋" w:cs="仿宋"/>
          <w:sz w:val="24"/>
        </w:rPr>
        <w:t>%，小儿占3</w:t>
      </w:r>
      <w:r>
        <w:rPr>
          <w:rFonts w:ascii="仿宋" w:hAnsi="仿宋" w:eastAsia="仿宋" w:cs="仿宋"/>
          <w:sz w:val="24"/>
        </w:rPr>
        <w:t>0</w:t>
      </w:r>
      <w:r>
        <w:rPr>
          <w:rFonts w:hint="eastAsia" w:ascii="仿宋" w:hAnsi="仿宋" w:eastAsia="仿宋" w:cs="仿宋"/>
          <w:sz w:val="24"/>
        </w:rPr>
        <w:t>%。总体存活出院率维持在60%左右。</w:t>
      </w:r>
    </w:p>
    <w:p w14:paraId="774A0970">
      <w:pPr>
        <w:spacing w:line="360" w:lineRule="auto"/>
        <w:ind w:firstLine="420"/>
        <w:jc w:val="left"/>
        <w:rPr>
          <w:rFonts w:ascii="仿宋" w:hAnsi="仿宋" w:eastAsia="仿宋" w:cs="仿宋"/>
          <w:sz w:val="24"/>
        </w:rPr>
      </w:pPr>
      <w:r>
        <w:rPr>
          <w:rFonts w:hint="eastAsia" w:ascii="仿宋" w:hAnsi="仿宋" w:eastAsia="仿宋" w:cs="仿宋"/>
          <w:sz w:val="24"/>
        </w:rPr>
        <w:t>阜外医院每年心脏大血管外科手术量近两万例，心内科及急症救治的心脏病患者一直稳居全国第一，每年选择来阜外进修学习的医护人员近千人，是我国心血管疾病治疗的摇篮。我中心自1990年代即开始招收来自全国各地的进修医生，迄今为止培训带教近千人，积累了大量的教学培训经验，形成了良好的带教互动氛围。我中心于2014年外派讲师团队至美国ELSO学习ECMO 导师培训的“3T” 培训，成立国内首个ECMO模拟培训团队，短期培训班培训人次目前已超过1</w:t>
      </w:r>
      <w:r>
        <w:rPr>
          <w:rFonts w:ascii="仿宋" w:hAnsi="仿宋" w:eastAsia="仿宋" w:cs="仿宋"/>
          <w:sz w:val="24"/>
        </w:rPr>
        <w:t>5</w:t>
      </w:r>
      <w:r>
        <w:rPr>
          <w:rFonts w:hint="eastAsia" w:ascii="仿宋" w:hAnsi="仿宋" w:eastAsia="仿宋" w:cs="仿宋"/>
          <w:sz w:val="24"/>
        </w:rPr>
        <w:t>00人，并取得一致好评。</w:t>
      </w:r>
    </w:p>
    <w:p w14:paraId="3C8BDD7E">
      <w:pPr>
        <w:spacing w:line="360" w:lineRule="auto"/>
        <w:ind w:firstLine="420"/>
        <w:jc w:val="left"/>
        <w:rPr>
          <w:rFonts w:ascii="仿宋" w:hAnsi="仿宋" w:eastAsia="仿宋" w:cs="仿宋"/>
          <w:sz w:val="24"/>
        </w:rPr>
      </w:pPr>
      <w:r>
        <w:rPr>
          <w:rFonts w:hint="eastAsia" w:ascii="仿宋" w:hAnsi="仿宋" w:eastAsia="仿宋" w:cs="仿宋"/>
          <w:sz w:val="24"/>
        </w:rPr>
        <w:t>满足专注于危重心血管疾病ECMO治疗的临床人员的需求，我中心专门设置3个月的VA ECMO进修班。本进修班由ECMO培训团队讲师专业授课，以标准化课程保障授课质量；并依托阜外医院模拟教学中心，开展接近真实临床的模拟教学。致力于培养理论过硬、临床扎实的ECMO专业人才，为我国心血管危重症患者的救治贡献力量。</w:t>
      </w:r>
    </w:p>
    <w:p w14:paraId="58038971">
      <w:pPr>
        <w:spacing w:line="360" w:lineRule="auto"/>
        <w:jc w:val="center"/>
        <w:rPr>
          <w:rFonts w:ascii="仿宋" w:hAnsi="仿宋" w:eastAsia="仿宋" w:cs="仿宋"/>
          <w:sz w:val="24"/>
        </w:rPr>
      </w:pPr>
      <w:r>
        <w:rPr>
          <w:rFonts w:ascii="仿宋" w:hAnsi="仿宋" w:eastAsia="仿宋" w:cs="仿宋"/>
          <w:sz w:val="24"/>
        </w:rPr>
        <w:drawing>
          <wp:inline distT="0" distB="0" distL="0" distR="0">
            <wp:extent cx="5071110" cy="2777490"/>
            <wp:effectExtent l="0" t="0" r="381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071110" cy="2777490"/>
                    </a:xfrm>
                    <a:prstGeom prst="rect">
                      <a:avLst/>
                    </a:prstGeom>
                  </pic:spPr>
                </pic:pic>
              </a:graphicData>
            </a:graphic>
          </wp:inline>
        </w:drawing>
      </w:r>
    </w:p>
    <w:p w14:paraId="49A26BF8">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带教团队介绍：</w:t>
      </w:r>
    </w:p>
    <w:p w14:paraId="70AB478A">
      <w:pPr>
        <w:numPr>
          <w:ilvl w:val="0"/>
          <w:numId w:val="3"/>
        </w:numPr>
        <w:rPr>
          <w:b/>
          <w:bCs/>
          <w:sz w:val="24"/>
        </w:rPr>
      </w:pPr>
      <w:r>
        <w:rPr>
          <w:rFonts w:hint="eastAsia" w:ascii="仿宋" w:hAnsi="仿宋" w:eastAsia="仿宋" w:cs="仿宋"/>
          <w:b/>
          <w:bCs/>
          <w:sz w:val="24"/>
        </w:rPr>
        <w:t>体外循环中心主任 吉冰洋</w:t>
      </w:r>
    </w:p>
    <w:p w14:paraId="3A1A10BF">
      <w:pPr>
        <w:rPr>
          <w:sz w:val="24"/>
        </w:rPr>
      </w:pPr>
    </w:p>
    <w:p w14:paraId="58BFF2C5">
      <w:pPr>
        <w:spacing w:line="360" w:lineRule="auto"/>
        <w:rPr>
          <w:rFonts w:ascii="仿宋" w:hAnsi="仿宋" w:eastAsia="仿宋" w:cs="仿宋"/>
          <w:sz w:val="24"/>
        </w:rPr>
      </w:pPr>
      <w:r>
        <w:rPr>
          <w:rFonts w:hint="eastAsia"/>
          <w:sz w:val="24"/>
        </w:rPr>
        <w:drawing>
          <wp:anchor distT="0" distB="0" distL="114300" distR="114300" simplePos="0" relativeHeight="251659264" behindDoc="0" locked="0" layoutInCell="1" allowOverlap="1">
            <wp:simplePos x="0" y="0"/>
            <wp:positionH relativeFrom="column">
              <wp:posOffset>-16510</wp:posOffset>
            </wp:positionH>
            <wp:positionV relativeFrom="paragraph">
              <wp:posOffset>32385</wp:posOffset>
            </wp:positionV>
            <wp:extent cx="1619885" cy="2506980"/>
            <wp:effectExtent l="0" t="0" r="10795" b="7620"/>
            <wp:wrapSquare wrapText="bothSides"/>
            <wp:docPr id="5" name="图片 5" descr="吉冰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吉冰洋照片"/>
                    <pic:cNvPicPr>
                      <a:picLocks noChangeAspect="1"/>
                    </pic:cNvPicPr>
                  </pic:nvPicPr>
                  <pic:blipFill>
                    <a:blip r:embed="rId7"/>
                    <a:stretch>
                      <a:fillRect/>
                    </a:stretch>
                  </pic:blipFill>
                  <pic:spPr>
                    <a:xfrm>
                      <a:off x="0" y="0"/>
                      <a:ext cx="1619885" cy="2506980"/>
                    </a:xfrm>
                    <a:prstGeom prst="rect">
                      <a:avLst/>
                    </a:prstGeom>
                  </pic:spPr>
                </pic:pic>
              </a:graphicData>
            </a:graphic>
          </wp:anchor>
        </w:drawing>
      </w:r>
      <w:r>
        <w:rPr>
          <w:rFonts w:hint="eastAsia" w:ascii="仿宋" w:hAnsi="仿宋" w:eastAsia="仿宋" w:cs="仿宋"/>
          <w:sz w:val="24"/>
        </w:rPr>
        <w:t>吉冰洋，医学博士，主任医师，北京协和医学院双专业（麻醉，生物医学工程）博士研究生导师。现任中国医学科学院阜外医院体外循环中心主任、成人体外循环科室主任。</w:t>
      </w:r>
    </w:p>
    <w:p w14:paraId="1DA2D932">
      <w:pPr>
        <w:spacing w:line="360" w:lineRule="auto"/>
        <w:rPr>
          <w:rFonts w:ascii="仿宋" w:hAnsi="仿宋" w:eastAsia="仿宋" w:cs="仿宋"/>
          <w:sz w:val="24"/>
        </w:rPr>
      </w:pPr>
      <w:r>
        <w:rPr>
          <w:rFonts w:hint="eastAsia" w:ascii="仿宋" w:hAnsi="仿宋" w:eastAsia="仿宋" w:cs="仿宋"/>
          <w:sz w:val="24"/>
        </w:rPr>
        <w:t>任国家心血管病中心专家委员会委员，国家心血管病临床医学中心主要研究者（PI）；中国医学科学院阜外医院学术委员会委员；中国研究型医院学会血栓与止血专业委员会副主任委员；中国心胸血管麻醉学会副秘书长兼常务理事，2015年创建中国心胸血管麻醉学会体外生命支持分会，第一任主任委员；中国医师协会心血管外科分会体外和重症学组副组长；中国生物医学工程学会机械循环支持分会常委；国家心血管系统疾病医疗质量控制中心体外循环与体外生命支持质量控制工作组副组长；北京市心脏大血管外科专业质量控制和改进中心专家委员会委员&amp;体外循环与麻醉质控工作组组长；中国医学装备协会医用耗材临床应用与管理专家库专家；北京市重症超声研究会航空重症专业委员会副主任委员；《中国体外循环》杂志副主编。</w:t>
      </w:r>
    </w:p>
    <w:p w14:paraId="1520A3C5">
      <w:pPr>
        <w:spacing w:line="360" w:lineRule="auto"/>
        <w:rPr>
          <w:rFonts w:hint="eastAsia" w:ascii="仿宋" w:hAnsi="仿宋" w:eastAsia="仿宋" w:cs="仿宋"/>
          <w:sz w:val="24"/>
        </w:rPr>
      </w:pPr>
      <w:r>
        <w:rPr>
          <w:rFonts w:hint="eastAsia" w:ascii="仿宋" w:hAnsi="仿宋" w:eastAsia="仿宋" w:cs="仿宋"/>
          <w:sz w:val="24"/>
        </w:rPr>
        <w:t>研究方向为心脏外科围体外循环期患者血液管理、器官保护；体外生命支持相关临床、基础研究；体外生命支持设备的研发与验证。共发表SCI文章120余篇，主持和参与多项国家级课题，曾获中国产学研合作创新成果一等奖、中华医学科技奖二等奖、华夏医学科技奖三等奖等多项奖项。</w:t>
      </w:r>
    </w:p>
    <w:p w14:paraId="0BD60E1C">
      <w:pPr>
        <w:rPr>
          <w:rFonts w:ascii="仿宋" w:hAnsi="仿宋" w:eastAsia="仿宋" w:cs="仿宋"/>
          <w:sz w:val="24"/>
        </w:rPr>
      </w:pPr>
    </w:p>
    <w:p w14:paraId="2473D554">
      <w:pPr>
        <w:numPr>
          <w:ilvl w:val="0"/>
          <w:numId w:val="3"/>
        </w:numPr>
        <w:rPr>
          <w:rFonts w:ascii="仿宋" w:hAnsi="仿宋" w:eastAsia="仿宋" w:cs="仿宋"/>
          <w:b/>
          <w:bCs/>
          <w:sz w:val="24"/>
        </w:rPr>
      </w:pPr>
      <w:r>
        <w:rPr>
          <w:rFonts w:hint="eastAsia" w:ascii="仿宋" w:hAnsi="仿宋" w:eastAsia="仿宋" w:cs="仿宋"/>
          <w:b/>
          <w:bCs/>
          <w:sz w:val="24"/>
        </w:rPr>
        <w:t>体外循环中心副主任 刘晋萍</w:t>
      </w:r>
    </w:p>
    <w:p w14:paraId="173332BA">
      <w:pPr>
        <w:rPr>
          <w:sz w:val="24"/>
        </w:rPr>
      </w:pPr>
    </w:p>
    <w:p w14:paraId="6EB0DC70">
      <w:pPr>
        <w:spacing w:line="360" w:lineRule="auto"/>
        <w:rPr>
          <w:rFonts w:ascii="仿宋" w:hAnsi="仿宋" w:eastAsia="仿宋" w:cs="仿宋"/>
          <w:sz w:val="24"/>
        </w:rPr>
      </w:pPr>
      <w:r>
        <w:rPr>
          <w:rFonts w:hint="eastAsia"/>
          <w:sz w:val="24"/>
        </w:rPr>
        <w:drawing>
          <wp:anchor distT="0" distB="0" distL="114300" distR="114300" simplePos="0" relativeHeight="251660288" behindDoc="0" locked="0" layoutInCell="1" allowOverlap="1">
            <wp:simplePos x="0" y="0"/>
            <wp:positionH relativeFrom="column">
              <wp:posOffset>5715</wp:posOffset>
            </wp:positionH>
            <wp:positionV relativeFrom="paragraph">
              <wp:posOffset>13335</wp:posOffset>
            </wp:positionV>
            <wp:extent cx="1619885" cy="2361565"/>
            <wp:effectExtent l="0" t="0" r="10795" b="635"/>
            <wp:wrapSquare wrapText="bothSides"/>
            <wp:docPr id="4" name="图片 4" descr="640"/>
            <wp:cNvGraphicFramePr/>
            <a:graphic xmlns:a="http://schemas.openxmlformats.org/drawingml/2006/main">
              <a:graphicData uri="http://schemas.openxmlformats.org/drawingml/2006/picture">
                <pic:pic xmlns:pic="http://schemas.openxmlformats.org/drawingml/2006/picture">
                  <pic:nvPicPr>
                    <pic:cNvPr id="4" name="图片 4" descr="640"/>
                    <pic:cNvPicPr/>
                  </pic:nvPicPr>
                  <pic:blipFill>
                    <a:blip r:embed="rId8"/>
                    <a:stretch>
                      <a:fillRect/>
                    </a:stretch>
                  </pic:blipFill>
                  <pic:spPr>
                    <a:xfrm>
                      <a:off x="0" y="0"/>
                      <a:ext cx="1619885" cy="2361565"/>
                    </a:xfrm>
                    <a:prstGeom prst="rect">
                      <a:avLst/>
                    </a:prstGeom>
                  </pic:spPr>
                </pic:pic>
              </a:graphicData>
            </a:graphic>
          </wp:anchor>
        </w:drawing>
      </w:r>
      <w:r>
        <w:rPr>
          <w:rFonts w:hint="eastAsia" w:ascii="仿宋" w:hAnsi="仿宋" w:eastAsia="仿宋" w:cs="仿宋"/>
          <w:sz w:val="24"/>
        </w:rPr>
        <w:t>刘晋萍，博士，主任医师，北京协和医学院博士研究生导师，现任中国医学科学院阜外医院体外循环中心副主任，小儿体外循环科主任。2014年于北京协和医学院获得麻醉学博士学位。2003年赴美国波士顿儿童医院、加拿大多伦多儿童医学中心</w:t>
      </w:r>
      <w:bookmarkStart w:id="2" w:name="_GoBack"/>
      <w:bookmarkEnd w:id="2"/>
      <w:r>
        <w:rPr>
          <w:rFonts w:hint="eastAsia" w:ascii="仿宋" w:hAnsi="仿宋" w:eastAsia="仿宋" w:cs="仿宋"/>
          <w:sz w:val="24"/>
        </w:rPr>
        <w:t>参观学习，2004年公派英国伦敦Great Ormond Street Hospital(大奥蒙德街儿童医院)进修学习，2005年公派至美国俄亥俄州伦布儿童医学中心进修。</w:t>
      </w:r>
    </w:p>
    <w:p w14:paraId="5C4D60F4">
      <w:pPr>
        <w:spacing w:line="360" w:lineRule="auto"/>
        <w:rPr>
          <w:rFonts w:ascii="仿宋" w:hAnsi="仿宋" w:eastAsia="仿宋" w:cs="仿宋"/>
          <w:sz w:val="24"/>
        </w:rPr>
      </w:pPr>
      <w:r>
        <w:rPr>
          <w:rFonts w:hint="eastAsia" w:ascii="仿宋" w:hAnsi="仿宋" w:eastAsia="仿宋" w:cs="仿宋"/>
          <w:sz w:val="24"/>
        </w:rPr>
        <w:t>现任中国心胸血管麻醉学会体外生命支持分会副主任委员、中国非公医协体外生命支持专委会副主任委员、中国生物医学工程学会体外循环分会常务委员、中国医师协会体外生命支持专业委员会委员、中国食品药品检定研究院医疗器械分类技术委员会专业组委员、《中国体外循环杂志》编委等职务。</w:t>
      </w:r>
    </w:p>
    <w:p w14:paraId="7087E168">
      <w:pPr>
        <w:spacing w:line="360" w:lineRule="auto"/>
        <w:rPr>
          <w:rFonts w:hint="eastAsia" w:ascii="仿宋" w:hAnsi="仿宋" w:eastAsia="仿宋" w:cs="仿宋"/>
          <w:sz w:val="24"/>
        </w:rPr>
      </w:pPr>
      <w:r>
        <w:rPr>
          <w:rFonts w:hint="eastAsia" w:ascii="仿宋" w:hAnsi="仿宋" w:eastAsia="仿宋" w:cs="仿宋"/>
          <w:sz w:val="24"/>
        </w:rPr>
        <w:t>现已主持完成国家自然科学基金两项，国家自然科学基金青年科学基金项目一项,中国医学科院临床与转化医学研究基金项目一项,中央高水平医院临床科研业项目一项,参与国家级课题四项,参与发明专利三项。工作至今</w:t>
      </w:r>
      <w:bookmarkStart w:id="0" w:name="OLE_LINK1"/>
      <w:bookmarkStart w:id="1" w:name="OLE_LINK2"/>
      <w:r>
        <w:rPr>
          <w:rFonts w:hint="eastAsia" w:ascii="仿宋" w:hAnsi="仿宋" w:eastAsia="仿宋" w:cs="仿宋"/>
          <w:sz w:val="24"/>
        </w:rPr>
        <w:t>参与完成著作6部，译著5部</w:t>
      </w:r>
      <w:bookmarkEnd w:id="0"/>
      <w:bookmarkEnd w:id="1"/>
      <w:r>
        <w:rPr>
          <w:rFonts w:hint="eastAsia" w:ascii="仿宋" w:hAnsi="仿宋" w:eastAsia="仿宋" w:cs="仿宋"/>
          <w:sz w:val="24"/>
        </w:rPr>
        <w:t>。以第一作者或通讯作者身份在多个SCI期刊杂志及国内核心期刊杂志发表有关婴幼儿体外循环多器官保护、小儿血液保护及ECMO相关研究类文章一百余篇，累计影响因子160+，在业内临床和科研方面具有足够影响力。曾获2006年院所技术创新奖，2010年中华医学科技奖三等奖，2013年中华医学会胸心血管外科青年医师论坛二等奖，2014年、2015年北京市科学技术奖。</w:t>
      </w:r>
    </w:p>
    <w:p w14:paraId="7CCB4CCA">
      <w:pPr>
        <w:spacing w:line="360" w:lineRule="auto"/>
        <w:rPr>
          <w:rFonts w:hint="eastAsia" w:ascii="仿宋" w:hAnsi="仿宋" w:eastAsia="仿宋" w:cs="仿宋"/>
          <w:sz w:val="24"/>
        </w:rPr>
      </w:pPr>
    </w:p>
    <w:p w14:paraId="65D5BBD3">
      <w:pPr>
        <w:spacing w:line="360" w:lineRule="auto"/>
        <w:rPr>
          <w:rFonts w:hint="eastAsia" w:ascii="仿宋" w:hAnsi="仿宋" w:eastAsia="仿宋" w:cs="仿宋"/>
          <w:b/>
          <w:bCs/>
          <w:sz w:val="24"/>
          <w:lang w:eastAsia="zh-CN"/>
        </w:rPr>
      </w:pPr>
      <w:r>
        <w:rPr>
          <w:rFonts w:hint="eastAsia" w:ascii="仿宋" w:hAnsi="仿宋" w:eastAsia="仿宋" w:cs="仿宋"/>
          <w:b/>
          <w:bCs/>
          <w:sz w:val="24"/>
        </w:rPr>
        <w:t>ECMO培训教师团队</w:t>
      </w:r>
      <w:r>
        <w:rPr>
          <w:rFonts w:hint="eastAsia" w:ascii="仿宋" w:hAnsi="仿宋" w:eastAsia="仿宋" w:cs="仿宋"/>
          <w:b/>
          <w:bCs/>
          <w:sz w:val="24"/>
          <w:lang w:eastAsia="zh-CN"/>
        </w:rPr>
        <w:t>：</w:t>
      </w:r>
    </w:p>
    <w:p w14:paraId="79A29D25">
      <w:pPr>
        <w:spacing w:line="360" w:lineRule="auto"/>
        <w:ind w:firstLine="480" w:firstLineChars="200"/>
        <w:rPr>
          <w:rFonts w:ascii="仿宋" w:hAnsi="仿宋" w:eastAsia="仿宋" w:cs="仿宋"/>
          <w:sz w:val="24"/>
        </w:rPr>
      </w:pPr>
      <w:r>
        <w:rPr>
          <w:rFonts w:hint="eastAsia" w:ascii="仿宋" w:hAnsi="仿宋" w:eastAsia="仿宋" w:cs="仿宋"/>
          <w:sz w:val="24"/>
        </w:rPr>
        <w:t>体外生命支持专家：吉冰洋、刘晋萍、于坤、李景文、袁媛、冯正义、胡强、高国栋、管玉龙、楼松、赵明霞、崔勇丽、段欣、周伯颐</w:t>
      </w:r>
    </w:p>
    <w:p w14:paraId="7DA0C7A4">
      <w:pPr>
        <w:spacing w:line="360" w:lineRule="auto"/>
        <w:ind w:firstLine="480" w:firstLineChars="200"/>
        <w:rPr>
          <w:rFonts w:ascii="仿宋" w:hAnsi="仿宋" w:eastAsia="仿宋" w:cs="仿宋"/>
          <w:sz w:val="24"/>
        </w:rPr>
      </w:pPr>
      <w:r>
        <w:rPr>
          <w:rFonts w:hint="eastAsia" w:ascii="仿宋" w:hAnsi="仿宋" w:eastAsia="仿宋" w:cs="仿宋"/>
          <w:sz w:val="24"/>
        </w:rPr>
        <w:t>模拟培训讲师：刘刚、段欣、王惠、王会颖、卞璐瑜、周纯、滕媛、王茜、闫姝洁、王建、李真真、赵宗凯</w:t>
      </w:r>
    </w:p>
    <w:p w14:paraId="39FA7271">
      <w:pPr>
        <w:spacing w:line="360" w:lineRule="auto"/>
        <w:ind w:firstLine="480" w:firstLineChars="200"/>
        <w:rPr>
          <w:rFonts w:hint="eastAsia" w:ascii="仿宋" w:hAnsi="仿宋" w:eastAsia="仿宋" w:cs="仿宋"/>
          <w:sz w:val="24"/>
        </w:rPr>
      </w:pPr>
      <w:r>
        <w:rPr>
          <w:rFonts w:hint="eastAsia" w:ascii="仿宋" w:hAnsi="仿宋" w:eastAsia="仿宋" w:cs="仿宋"/>
          <w:sz w:val="24"/>
        </w:rPr>
        <w:t>心血管外科专家：刘盛、高歌、张永保、房杰</w:t>
      </w:r>
    </w:p>
    <w:p w14:paraId="65DE340E">
      <w:pPr>
        <w:spacing w:line="360" w:lineRule="auto"/>
        <w:ind w:firstLine="480" w:firstLineChars="200"/>
        <w:rPr>
          <w:rFonts w:ascii="仿宋" w:hAnsi="仿宋" w:eastAsia="仿宋" w:cs="仿宋"/>
          <w:sz w:val="24"/>
        </w:rPr>
      </w:pPr>
      <w:r>
        <w:rPr>
          <w:rFonts w:hint="eastAsia" w:ascii="仿宋" w:hAnsi="仿宋" w:eastAsia="仿宋" w:cs="仿宋"/>
          <w:sz w:val="24"/>
        </w:rPr>
        <w:t>外科恢复室专家：王旭，杜娟、陈祖君、邹亮、杜雨、王冀、周宏艳</w:t>
      </w:r>
    </w:p>
    <w:p w14:paraId="536B1EEA">
      <w:pPr>
        <w:spacing w:line="360" w:lineRule="auto"/>
        <w:ind w:firstLine="480" w:firstLineChars="200"/>
        <w:rPr>
          <w:rFonts w:ascii="仿宋" w:hAnsi="仿宋" w:eastAsia="仿宋" w:cs="仿宋"/>
          <w:sz w:val="24"/>
        </w:rPr>
      </w:pPr>
      <w:r>
        <w:rPr>
          <w:rFonts w:hint="eastAsia" w:ascii="仿宋" w:hAnsi="仿宋" w:eastAsia="仿宋" w:cs="仿宋"/>
          <w:sz w:val="24"/>
        </w:rPr>
        <w:t>心血管超声专家：段福建、李慧、李铭瑶、孟庆龙</w:t>
      </w:r>
    </w:p>
    <w:p w14:paraId="6F3ECDD6">
      <w:pPr>
        <w:spacing w:line="360" w:lineRule="auto"/>
        <w:ind w:firstLine="480" w:firstLineChars="200"/>
        <w:rPr>
          <w:rFonts w:hint="eastAsia" w:ascii="仿宋" w:hAnsi="仿宋" w:eastAsia="仿宋" w:cs="仿宋"/>
          <w:sz w:val="24"/>
        </w:rPr>
      </w:pPr>
      <w:r>
        <w:rPr>
          <w:rFonts w:hint="eastAsia" w:ascii="仿宋" w:hAnsi="仿宋" w:eastAsia="仿宋" w:cs="仿宋"/>
          <w:sz w:val="24"/>
        </w:rPr>
        <w:t>心内科专家：卿平、张峻、李佳</w:t>
      </w:r>
    </w:p>
    <w:p w14:paraId="6F8AC31B">
      <w:pPr>
        <w:spacing w:line="360" w:lineRule="auto"/>
        <w:ind w:firstLine="480" w:firstLineChars="200"/>
        <w:rPr>
          <w:rFonts w:ascii="仿宋" w:hAnsi="仿宋" w:eastAsia="仿宋" w:cs="仿宋"/>
          <w:sz w:val="24"/>
        </w:rPr>
      </w:pPr>
      <w:r>
        <w:rPr>
          <w:rFonts w:hint="eastAsia" w:ascii="仿宋" w:hAnsi="仿宋" w:eastAsia="仿宋" w:cs="仿宋"/>
          <w:sz w:val="24"/>
        </w:rPr>
        <w:t>ECMO护理专家：吴荣、黄雨佳、赵明晶、赵琳</w:t>
      </w:r>
    </w:p>
    <w:p w14:paraId="5E52EFD5">
      <w:pPr>
        <w:spacing w:line="360" w:lineRule="auto"/>
        <w:ind w:firstLine="480" w:firstLineChars="200"/>
        <w:rPr>
          <w:rFonts w:ascii="仿宋" w:hAnsi="仿宋" w:eastAsia="仿宋" w:cs="仿宋"/>
          <w:sz w:val="24"/>
        </w:rPr>
      </w:pPr>
      <w:r>
        <w:rPr>
          <w:rFonts w:hint="eastAsia" w:ascii="仿宋" w:hAnsi="仿宋" w:eastAsia="仿宋" w:cs="仿宋"/>
          <w:sz w:val="24"/>
        </w:rPr>
        <w:t>其他包括急诊、检验科、输血科专家等</w:t>
      </w:r>
    </w:p>
    <w:p w14:paraId="3943C7D4">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考核标准：</w:t>
      </w:r>
    </w:p>
    <w:p w14:paraId="4264A93C">
      <w:pPr>
        <w:spacing w:line="360" w:lineRule="auto"/>
        <w:rPr>
          <w:rFonts w:ascii="仿宋" w:hAnsi="仿宋" w:eastAsia="仿宋" w:cs="仿宋"/>
          <w:b/>
          <w:bCs/>
          <w:sz w:val="24"/>
        </w:rPr>
      </w:pPr>
      <w:r>
        <w:rPr>
          <w:rFonts w:hint="eastAsia" w:ascii="仿宋" w:hAnsi="仿宋" w:eastAsia="仿宋" w:cs="仿宋"/>
          <w:b/>
          <w:bCs/>
          <w:sz w:val="24"/>
        </w:rPr>
        <w:t>结业标准：</w:t>
      </w:r>
    </w:p>
    <w:p w14:paraId="50F7EB1C">
      <w:pPr>
        <w:spacing w:line="360" w:lineRule="auto"/>
        <w:ind w:firstLine="480" w:firstLineChars="200"/>
        <w:rPr>
          <w:rFonts w:ascii="仿宋" w:hAnsi="仿宋" w:eastAsia="仿宋" w:cs="仿宋"/>
          <w:sz w:val="24"/>
        </w:rPr>
      </w:pPr>
      <w:r>
        <w:rPr>
          <w:rFonts w:hint="eastAsia" w:ascii="仿宋" w:hAnsi="仿宋" w:eastAsia="仿宋" w:cs="仿宋"/>
          <w:sz w:val="24"/>
        </w:rPr>
        <w:t>三个月培训分三阶段，每阶段均包含阶段考试，其中第一阶段为ECMO物品准备和系统预充；第二阶段为ECMO意外及并发症的识别及处理模拟考核；第三阶段为临床ECMO病例汇报和理论考试。所有考试需获得B以上评分方可结业。</w:t>
      </w:r>
    </w:p>
    <w:p w14:paraId="12214008">
      <w:pPr>
        <w:spacing w:line="360" w:lineRule="auto"/>
        <w:rPr>
          <w:rFonts w:ascii="仿宋" w:hAnsi="仿宋" w:eastAsia="仿宋" w:cs="仿宋"/>
          <w:b/>
          <w:bCs/>
          <w:sz w:val="24"/>
        </w:rPr>
      </w:pPr>
      <w:r>
        <w:rPr>
          <w:rFonts w:hint="eastAsia" w:ascii="仿宋" w:hAnsi="仿宋" w:eastAsia="仿宋" w:cs="仿宋"/>
          <w:b/>
          <w:bCs/>
          <w:sz w:val="24"/>
        </w:rPr>
        <w:t>评优标准：</w:t>
      </w:r>
    </w:p>
    <w:p w14:paraId="00A8FCCA">
      <w:pPr>
        <w:spacing w:line="360" w:lineRule="auto"/>
        <w:ind w:firstLine="480" w:firstLineChars="200"/>
        <w:rPr>
          <w:rFonts w:ascii="仿宋" w:hAnsi="仿宋" w:eastAsia="仿宋" w:cs="仿宋"/>
          <w:sz w:val="24"/>
        </w:rPr>
      </w:pPr>
      <w:r>
        <w:rPr>
          <w:rFonts w:hint="eastAsia" w:ascii="仿宋" w:hAnsi="仿宋" w:eastAsia="仿宋" w:cs="仿宋"/>
          <w:sz w:val="24"/>
        </w:rPr>
        <w:t>三阶段考试中的4个考试成绩至少取得3个以上A且没有B方具备评优资格，此外学习期间需勤学好问，尊敬师长，友爱同事，勤学好问，认真负责，并经考核小组一致评定后获得优秀表彰。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34F4873-5346-4058-8A06-7E303BD2859E}"/>
  </w:font>
  <w:font w:name="方正小标宋简体">
    <w:panose1 w:val="02000000000000000000"/>
    <w:charset w:val="86"/>
    <w:family w:val="auto"/>
    <w:pitch w:val="default"/>
    <w:sig w:usb0="00000001" w:usb1="08000000" w:usb2="00000000" w:usb3="00000000" w:csb0="00040000" w:csb1="00000000"/>
    <w:embedRegular r:id="rId2" w:fontKey="{A69E5604-F5E8-4938-BBB2-52C7524A1C9C}"/>
  </w:font>
  <w:font w:name="仿宋">
    <w:panose1 w:val="02010609060101010101"/>
    <w:charset w:val="86"/>
    <w:family w:val="modern"/>
    <w:pitch w:val="default"/>
    <w:sig w:usb0="800002BF" w:usb1="38CF7CFA" w:usb2="00000016" w:usb3="00000000" w:csb0="00040001" w:csb1="00000000"/>
    <w:embedRegular r:id="rId3" w:fontKey="{9894E6E8-B6EE-43C9-8847-6FFF8DF3C33D}"/>
  </w:font>
  <w:font w:name="Wingdings">
    <w:panose1 w:val="05000000000000000000"/>
    <w:charset w:val="00"/>
    <w:family w:val="decorative"/>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abstractNum w:abstractNumId="1">
    <w:nsid w:val="43695D4D"/>
    <w:multiLevelType w:val="multilevel"/>
    <w:tmpl w:val="43695D4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7EF9A198"/>
    <w:multiLevelType w:val="singleLevel"/>
    <w:tmpl w:val="7EF9A19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2MzJhZDllMzY3MzFiYjIzZTcxZjlhYjM0M2NmMzMifQ=="/>
  </w:docVars>
  <w:rsids>
    <w:rsidRoot w:val="008043DF"/>
    <w:rsid w:val="000A3447"/>
    <w:rsid w:val="00147CAD"/>
    <w:rsid w:val="001D0EFD"/>
    <w:rsid w:val="001F730F"/>
    <w:rsid w:val="00217867"/>
    <w:rsid w:val="00444AEB"/>
    <w:rsid w:val="00467CCD"/>
    <w:rsid w:val="00485D1A"/>
    <w:rsid w:val="005A1E4C"/>
    <w:rsid w:val="00640B4A"/>
    <w:rsid w:val="0066104C"/>
    <w:rsid w:val="008043DF"/>
    <w:rsid w:val="00813A3E"/>
    <w:rsid w:val="008B29AF"/>
    <w:rsid w:val="008B3905"/>
    <w:rsid w:val="00C45D33"/>
    <w:rsid w:val="00E61F03"/>
    <w:rsid w:val="00E82094"/>
    <w:rsid w:val="00FE2B7F"/>
    <w:rsid w:val="18645630"/>
    <w:rsid w:val="2C6C7641"/>
    <w:rsid w:val="39901858"/>
    <w:rsid w:val="3AF03FE6"/>
    <w:rsid w:val="47A44E6F"/>
    <w:rsid w:val="4E7D2F52"/>
    <w:rsid w:val="61A62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2529</Words>
  <Characters>2753</Characters>
  <Lines>20</Lines>
  <Paragraphs>5</Paragraphs>
  <TotalTime>5</TotalTime>
  <ScaleCrop>false</ScaleCrop>
  <LinksUpToDate>false</LinksUpToDate>
  <CharactersWithSpaces>2766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2025-11-19T10:32:00Z</dcterms:created>
  <dc:creator>Amy</dc:creator>
  <cp:lastModifiedBy>Rain,</cp:lastModifiedBy>
  <dcterms:modified xsi:type="dcterms:W3CDTF">2025-11-20T01:37:04Z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362A5FA661F44DF89343D87358546569_13</vt:lpwstr>
  </property>
  <property fmtid="{D5CDD505-2E9C-101B-9397-08002B2CF9AE}" pid="4" name="KSOTemplateDocerSaveRecord">
    <vt:lpwstr>eyJoZGlkIjoiYjU2MzJhZDllMzY3MzFiYjIzZTcxZjlhYjM0M2NmMzMiLCJ1c2VySWQiOiI1Mzk5ODMyNjcifQ==</vt:lpwstr>
  </property>
</Properties>
</file>